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D7F" w:rsidRDefault="00336C02" w:rsidP="00336C02">
      <w:pPr>
        <w:jc w:val="center"/>
        <w:rPr>
          <w:b/>
          <w:bCs/>
          <w:sz w:val="72"/>
          <w:szCs w:val="72"/>
        </w:rPr>
      </w:pPr>
      <w:r w:rsidRPr="00336C02">
        <w:rPr>
          <w:b/>
          <w:bCs/>
          <w:sz w:val="72"/>
          <w:szCs w:val="72"/>
        </w:rPr>
        <w:t>Finančné inštitúcie</w:t>
      </w:r>
    </w:p>
    <w:p w:rsidR="00336C02" w:rsidRDefault="00336C02" w:rsidP="00336C02">
      <w:pPr>
        <w:rPr>
          <w:b/>
          <w:bCs/>
          <w:sz w:val="24"/>
          <w:szCs w:val="24"/>
        </w:rPr>
      </w:pPr>
      <w:r w:rsidRPr="00336C02">
        <w:rPr>
          <w:b/>
          <w:bCs/>
          <w:sz w:val="24"/>
          <w:szCs w:val="24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322.5pt" o:ole="">
            <v:imagedata r:id="rId5" o:title=""/>
          </v:shape>
          <o:OLEObject Type="Embed" ProgID="PowerPoint.Slide.12" ShapeID="_x0000_i1025" DrawAspect="Content" ObjectID="_1653454553" r:id="rId6"/>
        </w:object>
      </w:r>
    </w:p>
    <w:p w:rsidR="00336C02" w:rsidRDefault="00336C02" w:rsidP="00336C02">
      <w:pPr>
        <w:rPr>
          <w:b/>
          <w:bCs/>
          <w:sz w:val="24"/>
          <w:szCs w:val="24"/>
        </w:rPr>
      </w:pPr>
    </w:p>
    <w:p w:rsidR="00336C02" w:rsidRDefault="00336C02" w:rsidP="00336C02">
      <w:pPr>
        <w:rPr>
          <w:b/>
          <w:bCs/>
          <w:sz w:val="24"/>
          <w:szCs w:val="24"/>
        </w:rPr>
      </w:pPr>
    </w:p>
    <w:p w:rsidR="00336C02" w:rsidRDefault="00336C02" w:rsidP="00336C02">
      <w:pPr>
        <w:rPr>
          <w:b/>
          <w:bCs/>
          <w:sz w:val="24"/>
          <w:szCs w:val="24"/>
        </w:rPr>
      </w:pPr>
      <w:r w:rsidRPr="00336C02">
        <w:rPr>
          <w:b/>
          <w:bCs/>
          <w:sz w:val="24"/>
          <w:szCs w:val="24"/>
        </w:rPr>
        <w:object w:dxaOrig="7216" w:dyaOrig="5407">
          <v:shape id="_x0000_i1026" type="#_x0000_t75" style="width:417.75pt;height:312.75pt" o:ole="">
            <v:imagedata r:id="rId7" o:title=""/>
          </v:shape>
          <o:OLEObject Type="Embed" ProgID="PowerPoint.Slide.12" ShapeID="_x0000_i1026" DrawAspect="Content" ObjectID="_1653454554" r:id="rId8"/>
        </w:object>
      </w:r>
    </w:p>
    <w:p w:rsidR="00336C02" w:rsidRPr="00336C02" w:rsidRDefault="00336C02" w:rsidP="00336C02">
      <w:pPr>
        <w:rPr>
          <w:b/>
          <w:bCs/>
          <w:color w:val="FF0000"/>
          <w:sz w:val="28"/>
          <w:szCs w:val="28"/>
        </w:rPr>
      </w:pPr>
      <w:r w:rsidRPr="00336C02">
        <w:rPr>
          <w:b/>
          <w:bCs/>
          <w:color w:val="FF0000"/>
          <w:sz w:val="36"/>
          <w:szCs w:val="36"/>
        </w:rPr>
        <w:lastRenderedPageBreak/>
        <w:t xml:space="preserve">                  BEZHOTOVOSTNÝ  PLATOBNÝ STYK</w:t>
      </w:r>
    </w:p>
    <w:p w:rsidR="00336C02" w:rsidRDefault="00336C02" w:rsidP="00336C02">
      <w:pPr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color w:val="1F497D" w:themeColor="text2"/>
          <w:sz w:val="28"/>
          <w:szCs w:val="28"/>
        </w:rPr>
        <w:t>J</w:t>
      </w:r>
      <w:r w:rsidRPr="00336C02">
        <w:rPr>
          <w:b/>
          <w:bCs/>
          <w:color w:val="1F497D" w:themeColor="text2"/>
          <w:sz w:val="28"/>
          <w:szCs w:val="28"/>
        </w:rPr>
        <w:t xml:space="preserve">e realizovaný prevodom prostriedkov z účtu platiteľa na účet príjemcu platby. Pri bezhotovostnom platobnou styku sa nevyužívajú hotovostné peniaze, ale tzv. depozitné - bankové peniaze. </w:t>
      </w:r>
    </w:p>
    <w:p w:rsidR="00336C02" w:rsidRPr="00336C02" w:rsidRDefault="00336C02" w:rsidP="00336C02">
      <w:pPr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color w:val="1F497D" w:themeColor="text2"/>
          <w:sz w:val="28"/>
          <w:szCs w:val="28"/>
        </w:rPr>
        <w:t>J</w:t>
      </w:r>
      <w:r w:rsidRPr="00336C02">
        <w:rPr>
          <w:b/>
          <w:bCs/>
          <w:color w:val="1F497D" w:themeColor="text2"/>
          <w:sz w:val="28"/>
          <w:szCs w:val="28"/>
        </w:rPr>
        <w:t xml:space="preserve">e realizovaný výlučne prostredníctvom bánk.  </w:t>
      </w:r>
    </w:p>
    <w:p w:rsidR="00336C02" w:rsidRPr="00336C02" w:rsidRDefault="00336C02" w:rsidP="00336C02">
      <w:pPr>
        <w:rPr>
          <w:b/>
          <w:bCs/>
          <w:color w:val="1F497D" w:themeColor="text2"/>
          <w:sz w:val="28"/>
          <w:szCs w:val="28"/>
        </w:rPr>
      </w:pPr>
      <w:r w:rsidRPr="00336C02">
        <w:rPr>
          <w:b/>
          <w:bCs/>
          <w:color w:val="1F497D" w:themeColor="text2"/>
          <w:sz w:val="28"/>
          <w:szCs w:val="28"/>
        </w:rPr>
        <w:t>Prostriedky používané pri bezhotovostnom platobnom styku:</w:t>
      </w:r>
    </w:p>
    <w:p w:rsidR="00000000" w:rsidRPr="00336C02" w:rsidRDefault="00730605" w:rsidP="00336C02">
      <w:pPr>
        <w:numPr>
          <w:ilvl w:val="0"/>
          <w:numId w:val="1"/>
        </w:numPr>
        <w:rPr>
          <w:b/>
          <w:bCs/>
          <w:color w:val="1F497D" w:themeColor="text2"/>
          <w:sz w:val="28"/>
          <w:szCs w:val="28"/>
        </w:rPr>
      </w:pPr>
      <w:r w:rsidRPr="00336C02">
        <w:rPr>
          <w:b/>
          <w:bCs/>
          <w:color w:val="1F497D" w:themeColor="text2"/>
          <w:sz w:val="28"/>
          <w:szCs w:val="28"/>
        </w:rPr>
        <w:t>príkazy na úhradu</w:t>
      </w:r>
    </w:p>
    <w:p w:rsidR="00000000" w:rsidRPr="00336C02" w:rsidRDefault="00730605" w:rsidP="00336C02">
      <w:pPr>
        <w:numPr>
          <w:ilvl w:val="0"/>
          <w:numId w:val="1"/>
        </w:numPr>
        <w:rPr>
          <w:b/>
          <w:bCs/>
          <w:color w:val="1F497D" w:themeColor="text2"/>
          <w:sz w:val="28"/>
          <w:szCs w:val="28"/>
        </w:rPr>
      </w:pPr>
      <w:r w:rsidRPr="00336C02">
        <w:rPr>
          <w:b/>
          <w:bCs/>
          <w:color w:val="1F497D" w:themeColor="text2"/>
          <w:sz w:val="28"/>
          <w:szCs w:val="28"/>
        </w:rPr>
        <w:t>príkazy na inkasá</w:t>
      </w:r>
    </w:p>
    <w:p w:rsidR="00000000" w:rsidRPr="00336C02" w:rsidRDefault="00730605" w:rsidP="00336C02">
      <w:pPr>
        <w:numPr>
          <w:ilvl w:val="0"/>
          <w:numId w:val="1"/>
        </w:numPr>
        <w:rPr>
          <w:b/>
          <w:bCs/>
          <w:color w:val="1F497D" w:themeColor="text2"/>
          <w:sz w:val="28"/>
          <w:szCs w:val="28"/>
        </w:rPr>
      </w:pPr>
      <w:r w:rsidRPr="00336C02">
        <w:rPr>
          <w:b/>
          <w:bCs/>
          <w:color w:val="1F497D" w:themeColor="text2"/>
          <w:sz w:val="28"/>
          <w:szCs w:val="28"/>
        </w:rPr>
        <w:t>šeky</w:t>
      </w:r>
    </w:p>
    <w:p w:rsidR="00000000" w:rsidRPr="00336C02" w:rsidRDefault="00730605" w:rsidP="00336C02">
      <w:pPr>
        <w:numPr>
          <w:ilvl w:val="0"/>
          <w:numId w:val="1"/>
        </w:numPr>
        <w:rPr>
          <w:b/>
          <w:bCs/>
          <w:color w:val="1F497D" w:themeColor="text2"/>
          <w:sz w:val="28"/>
          <w:szCs w:val="28"/>
        </w:rPr>
      </w:pPr>
      <w:r w:rsidRPr="00336C02">
        <w:rPr>
          <w:b/>
          <w:bCs/>
          <w:color w:val="1F497D" w:themeColor="text2"/>
          <w:sz w:val="28"/>
          <w:szCs w:val="28"/>
        </w:rPr>
        <w:t>platobné karty</w:t>
      </w:r>
    </w:p>
    <w:p w:rsidR="00336C02" w:rsidRDefault="00336C02" w:rsidP="00336C02">
      <w:pPr>
        <w:rPr>
          <w:b/>
          <w:bCs/>
          <w:color w:val="1F497D" w:themeColor="text2"/>
          <w:sz w:val="28"/>
          <w:szCs w:val="28"/>
        </w:rPr>
      </w:pPr>
      <w:r w:rsidRPr="00336C02">
        <w:rPr>
          <w:b/>
          <w:bCs/>
          <w:color w:val="1F497D" w:themeColor="text2"/>
          <w:sz w:val="28"/>
          <w:szCs w:val="28"/>
        </w:rPr>
        <w:t xml:space="preserve">Podmienkou pre realizáciu bezhotovostného platobného styku je teda existencia bankového účtu ako na strane odosielateľa peňazí, tak aj na strane ich príjemcu. </w:t>
      </w:r>
    </w:p>
    <w:p w:rsidR="00336C02" w:rsidRPr="00336C02" w:rsidRDefault="00336C02" w:rsidP="00336C02">
      <w:pPr>
        <w:jc w:val="center"/>
        <w:rPr>
          <w:b/>
          <w:bCs/>
          <w:color w:val="FF0000"/>
          <w:sz w:val="32"/>
          <w:szCs w:val="32"/>
        </w:rPr>
      </w:pPr>
      <w:r w:rsidRPr="00336C02">
        <w:rPr>
          <w:b/>
          <w:bCs/>
          <w:color w:val="FF0000"/>
          <w:sz w:val="32"/>
          <w:szCs w:val="32"/>
        </w:rPr>
        <w:t>BEŽNÝ ÚČET</w:t>
      </w:r>
    </w:p>
    <w:p w:rsidR="00336C02" w:rsidRPr="00336C02" w:rsidRDefault="00336C02" w:rsidP="00336C02">
      <w:pPr>
        <w:rPr>
          <w:b/>
          <w:bCs/>
          <w:color w:val="1F497D" w:themeColor="text2"/>
          <w:sz w:val="28"/>
          <w:szCs w:val="28"/>
        </w:rPr>
      </w:pPr>
      <w:r w:rsidRPr="00336C02">
        <w:rPr>
          <w:b/>
          <w:bCs/>
          <w:color w:val="1F497D" w:themeColor="text2"/>
          <w:sz w:val="28"/>
          <w:szCs w:val="28"/>
        </w:rPr>
        <w:t>je bankový produkt, prostredníctvom ktorého môže klient vykonávať každodenné bankové operácie.</w:t>
      </w:r>
    </w:p>
    <w:p w:rsidR="00336C02" w:rsidRPr="00336C02" w:rsidRDefault="00336C02" w:rsidP="00336C02">
      <w:pPr>
        <w:rPr>
          <w:b/>
          <w:bCs/>
          <w:color w:val="1F497D" w:themeColor="text2"/>
          <w:sz w:val="28"/>
          <w:szCs w:val="28"/>
        </w:rPr>
      </w:pPr>
      <w:r w:rsidRPr="00336C02">
        <w:rPr>
          <w:b/>
          <w:bCs/>
          <w:color w:val="1F497D" w:themeColor="text2"/>
          <w:sz w:val="28"/>
          <w:szCs w:val="28"/>
        </w:rPr>
        <w:t xml:space="preserve">Medzi základné operácie patrí vklad, výber a prevod peňazí na iný účet. </w:t>
      </w:r>
    </w:p>
    <w:p w:rsidR="00336C02" w:rsidRPr="00336C02" w:rsidRDefault="00336C02" w:rsidP="00336C02">
      <w:pPr>
        <w:rPr>
          <w:b/>
          <w:bCs/>
          <w:color w:val="1F497D" w:themeColor="text2"/>
          <w:sz w:val="28"/>
          <w:szCs w:val="28"/>
        </w:rPr>
      </w:pPr>
      <w:r w:rsidRPr="00336C02">
        <w:rPr>
          <w:b/>
          <w:bCs/>
          <w:color w:val="1F497D" w:themeColor="text2"/>
          <w:sz w:val="28"/>
          <w:szCs w:val="28"/>
        </w:rPr>
        <w:t>Štandardnými službami spojenými s bežným účtom sú trvalé príkazy a inkasá. Za vedenie bežného účtu si obyčajne banka účtuje poplatok.</w:t>
      </w:r>
    </w:p>
    <w:p w:rsidR="00336C02" w:rsidRPr="00336C02" w:rsidRDefault="00336C02" w:rsidP="00336C02">
      <w:pPr>
        <w:jc w:val="center"/>
        <w:rPr>
          <w:b/>
          <w:bCs/>
          <w:color w:val="FF0000"/>
          <w:sz w:val="32"/>
          <w:szCs w:val="32"/>
        </w:rPr>
      </w:pPr>
      <w:r w:rsidRPr="00336C02">
        <w:rPr>
          <w:b/>
          <w:bCs/>
          <w:color w:val="FF0000"/>
          <w:sz w:val="32"/>
          <w:szCs w:val="32"/>
        </w:rPr>
        <w:t>IBAN (</w:t>
      </w:r>
      <w:proofErr w:type="spellStart"/>
      <w:r w:rsidRPr="00336C02">
        <w:rPr>
          <w:b/>
          <w:bCs/>
          <w:color w:val="FF0000"/>
          <w:sz w:val="32"/>
          <w:szCs w:val="32"/>
        </w:rPr>
        <w:t>International</w:t>
      </w:r>
      <w:proofErr w:type="spellEnd"/>
      <w:r w:rsidRPr="00336C02">
        <w:rPr>
          <w:b/>
          <w:bCs/>
          <w:color w:val="FF0000"/>
          <w:sz w:val="32"/>
          <w:szCs w:val="32"/>
        </w:rPr>
        <w:t xml:space="preserve"> Bank </w:t>
      </w:r>
      <w:proofErr w:type="spellStart"/>
      <w:r w:rsidRPr="00336C02">
        <w:rPr>
          <w:b/>
          <w:bCs/>
          <w:color w:val="FF0000"/>
          <w:sz w:val="32"/>
          <w:szCs w:val="32"/>
        </w:rPr>
        <w:t>Account</w:t>
      </w:r>
      <w:proofErr w:type="spellEnd"/>
      <w:r w:rsidRPr="00336C02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Pr="00336C02">
        <w:rPr>
          <w:b/>
          <w:bCs/>
          <w:color w:val="FF0000"/>
          <w:sz w:val="32"/>
          <w:szCs w:val="32"/>
        </w:rPr>
        <w:t>Number</w:t>
      </w:r>
      <w:proofErr w:type="spellEnd"/>
      <w:r w:rsidRPr="00336C02">
        <w:rPr>
          <w:b/>
          <w:bCs/>
          <w:color w:val="FF0000"/>
          <w:sz w:val="32"/>
          <w:szCs w:val="32"/>
        </w:rPr>
        <w:t>)</w:t>
      </w:r>
    </w:p>
    <w:p w:rsidR="00336C02" w:rsidRPr="00336C02" w:rsidRDefault="00336C02" w:rsidP="00336C02">
      <w:pPr>
        <w:rPr>
          <w:b/>
          <w:bCs/>
          <w:color w:val="1F497D" w:themeColor="text2"/>
          <w:sz w:val="28"/>
          <w:szCs w:val="28"/>
        </w:rPr>
      </w:pPr>
      <w:r w:rsidRPr="00336C02">
        <w:rPr>
          <w:b/>
          <w:bCs/>
          <w:color w:val="1F497D" w:themeColor="text2"/>
          <w:sz w:val="28"/>
          <w:szCs w:val="28"/>
        </w:rPr>
        <w:t>medzinárodné číslo bankového účtu, používané pri zahraničných transakciách v rámci EÚ, ktoré má rovnakú štruktúru vo všetkých krajinách únie.</w:t>
      </w:r>
    </w:p>
    <w:p w:rsidR="00336C02" w:rsidRPr="00336C02" w:rsidRDefault="00336C02" w:rsidP="00336C02">
      <w:pPr>
        <w:rPr>
          <w:b/>
          <w:bCs/>
          <w:color w:val="1F497D" w:themeColor="text2"/>
          <w:sz w:val="28"/>
          <w:szCs w:val="28"/>
        </w:rPr>
      </w:pPr>
      <w:r w:rsidRPr="00336C02">
        <w:rPr>
          <w:b/>
          <w:bCs/>
          <w:color w:val="1F497D" w:themeColor="text2"/>
          <w:sz w:val="28"/>
          <w:szCs w:val="28"/>
        </w:rPr>
        <w:t>Prvé dva znaky sú vždy povinné alfabetické a predstavujú kód krajiny. Ďalšie dva znaky sú povinné numerické a predstavujú kontrolné číslice a posledná časť môže obsahovať maximálne do 30 znakov rôzneho charakteru.</w:t>
      </w:r>
    </w:p>
    <w:p w:rsidR="00336C02" w:rsidRPr="00336C02" w:rsidRDefault="00336C02" w:rsidP="00336C02">
      <w:pPr>
        <w:rPr>
          <w:b/>
          <w:bCs/>
          <w:color w:val="1F497D" w:themeColor="text2"/>
          <w:sz w:val="28"/>
          <w:szCs w:val="28"/>
        </w:rPr>
      </w:pPr>
      <w:r w:rsidRPr="00336C02">
        <w:rPr>
          <w:b/>
          <w:bCs/>
          <w:color w:val="1F497D" w:themeColor="text2"/>
          <w:sz w:val="28"/>
          <w:szCs w:val="28"/>
        </w:rPr>
        <w:t xml:space="preserve">Číslo bankového účtu - je jedinečná kombinácia písmen, číslic a symbolov, určená na identifikáciu bankového účtu. </w:t>
      </w:r>
    </w:p>
    <w:p w:rsidR="00336C02" w:rsidRPr="00336C02" w:rsidRDefault="00336C02" w:rsidP="00336C02">
      <w:pPr>
        <w:rPr>
          <w:b/>
          <w:bCs/>
          <w:color w:val="1F497D" w:themeColor="text2"/>
          <w:sz w:val="28"/>
          <w:szCs w:val="28"/>
        </w:rPr>
      </w:pPr>
    </w:p>
    <w:p w:rsidR="00336C02" w:rsidRPr="00336C02" w:rsidRDefault="00336C02" w:rsidP="00336C02">
      <w:pPr>
        <w:rPr>
          <w:b/>
          <w:bCs/>
          <w:sz w:val="28"/>
          <w:szCs w:val="28"/>
        </w:rPr>
      </w:pPr>
    </w:p>
    <w:p w:rsidR="00642DB8" w:rsidRDefault="00642DB8" w:rsidP="00336C02">
      <w:pPr>
        <w:rPr>
          <w:b/>
          <w:bCs/>
          <w:sz w:val="28"/>
          <w:szCs w:val="28"/>
        </w:rPr>
      </w:pPr>
    </w:p>
    <w:p w:rsidR="00642DB8" w:rsidRDefault="00642DB8" w:rsidP="00336C02">
      <w:pPr>
        <w:rPr>
          <w:b/>
          <w:bCs/>
          <w:sz w:val="28"/>
          <w:szCs w:val="28"/>
        </w:rPr>
      </w:pPr>
      <w:r w:rsidRPr="00336C02">
        <w:rPr>
          <w:b/>
          <w:bCs/>
          <w:sz w:val="28"/>
          <w:szCs w:val="28"/>
        </w:rPr>
        <w:object w:dxaOrig="7216" w:dyaOrig="5407">
          <v:shape id="_x0000_i1027" type="#_x0000_t75" style="width:446.25pt;height:333.75pt" o:ole="">
            <v:imagedata r:id="rId9" o:title=""/>
          </v:shape>
          <o:OLEObject Type="Embed" ProgID="PowerPoint.Slide.12" ShapeID="_x0000_i1027" DrawAspect="Content" ObjectID="_1653454555" r:id="rId10"/>
        </w:object>
      </w:r>
    </w:p>
    <w:p w:rsidR="00642DB8" w:rsidRPr="00642DB8" w:rsidRDefault="00642DB8" w:rsidP="00642DB8">
      <w:pPr>
        <w:jc w:val="center"/>
        <w:rPr>
          <w:b/>
          <w:bCs/>
          <w:color w:val="FF0000"/>
          <w:sz w:val="32"/>
          <w:szCs w:val="32"/>
        </w:rPr>
      </w:pPr>
      <w:r w:rsidRPr="00642DB8">
        <w:rPr>
          <w:b/>
          <w:bCs/>
          <w:color w:val="FF0000"/>
          <w:sz w:val="32"/>
          <w:szCs w:val="32"/>
        </w:rPr>
        <w:t>KREDITNÁ KARTA</w:t>
      </w:r>
    </w:p>
    <w:p w:rsidR="00642DB8" w:rsidRPr="00642DB8" w:rsidRDefault="00642DB8" w:rsidP="00642DB8">
      <w:pPr>
        <w:rPr>
          <w:b/>
          <w:color w:val="1F497D" w:themeColor="text2"/>
          <w:sz w:val="28"/>
          <w:szCs w:val="28"/>
        </w:rPr>
      </w:pPr>
      <w:r w:rsidRPr="00642DB8">
        <w:rPr>
          <w:b/>
          <w:color w:val="1F497D" w:themeColor="text2"/>
          <w:sz w:val="28"/>
          <w:szCs w:val="28"/>
        </w:rPr>
        <w:t>je úverový produkt, ktorý umožňuje klientovi čerpať úver, do bankou schválenej výšky úverového limitu.</w:t>
      </w:r>
    </w:p>
    <w:p w:rsidR="00642DB8" w:rsidRPr="00642DB8" w:rsidRDefault="00642DB8" w:rsidP="00642DB8">
      <w:pPr>
        <w:rPr>
          <w:b/>
          <w:color w:val="1F497D" w:themeColor="text2"/>
          <w:sz w:val="28"/>
          <w:szCs w:val="28"/>
        </w:rPr>
      </w:pPr>
      <w:r w:rsidRPr="00642DB8">
        <w:rPr>
          <w:b/>
          <w:color w:val="1F497D" w:themeColor="text2"/>
          <w:sz w:val="28"/>
          <w:szCs w:val="28"/>
        </w:rPr>
        <w:t>Kreditná karta umožňuje, podobne ako debetná platobná karta, uskutočňovať platby a výbery hotovosti. Na rozdiel od debetnej platobnej karty, klient nemusí mať v banke bežný účet.</w:t>
      </w:r>
    </w:p>
    <w:p w:rsidR="00642DB8" w:rsidRDefault="00642DB8" w:rsidP="00642DB8">
      <w:pPr>
        <w:rPr>
          <w:b/>
          <w:color w:val="1F497D" w:themeColor="text2"/>
          <w:sz w:val="28"/>
          <w:szCs w:val="28"/>
        </w:rPr>
      </w:pPr>
      <w:r w:rsidRPr="00642DB8">
        <w:rPr>
          <w:b/>
          <w:color w:val="1F497D" w:themeColor="text2"/>
          <w:sz w:val="28"/>
          <w:szCs w:val="28"/>
        </w:rPr>
        <w:t>Majiteľ kreditnej karty môže čerpať úver počas istého obdobia (väčšinou 30 až 50 dní) bezúročne. Po uplynutí bezúročného obdobia musí klient zaplatiť minimálnu splátku (od 5 do 10 % z vyčerpanej sumy) a zostatok úverového limitu môže použiť v ďalšom období.</w:t>
      </w:r>
    </w:p>
    <w:p w:rsidR="00642DB8" w:rsidRDefault="00642DB8" w:rsidP="00642DB8">
      <w:pPr>
        <w:jc w:val="center"/>
        <w:rPr>
          <w:b/>
          <w:bCs/>
          <w:color w:val="FF0000"/>
          <w:sz w:val="32"/>
          <w:szCs w:val="32"/>
        </w:rPr>
      </w:pPr>
      <w:r w:rsidRPr="00642DB8">
        <w:rPr>
          <w:b/>
          <w:bCs/>
          <w:color w:val="FF0000"/>
          <w:sz w:val="32"/>
          <w:szCs w:val="32"/>
        </w:rPr>
        <w:t xml:space="preserve">Bankomat (ATM - </w:t>
      </w:r>
      <w:proofErr w:type="spellStart"/>
      <w:r w:rsidRPr="00642DB8">
        <w:rPr>
          <w:b/>
          <w:bCs/>
          <w:color w:val="FF0000"/>
          <w:sz w:val="32"/>
          <w:szCs w:val="32"/>
        </w:rPr>
        <w:t>Automatic</w:t>
      </w:r>
      <w:proofErr w:type="spellEnd"/>
      <w:r w:rsidRPr="00642DB8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Pr="00642DB8">
        <w:rPr>
          <w:b/>
          <w:bCs/>
          <w:color w:val="FF0000"/>
          <w:sz w:val="32"/>
          <w:szCs w:val="32"/>
        </w:rPr>
        <w:t>Teller</w:t>
      </w:r>
      <w:proofErr w:type="spellEnd"/>
      <w:r w:rsidRPr="00642DB8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Pr="00642DB8">
        <w:rPr>
          <w:b/>
          <w:bCs/>
          <w:color w:val="FF0000"/>
          <w:sz w:val="32"/>
          <w:szCs w:val="32"/>
        </w:rPr>
        <w:t>Machine</w:t>
      </w:r>
      <w:proofErr w:type="spellEnd"/>
      <w:r w:rsidRPr="00642DB8">
        <w:rPr>
          <w:b/>
          <w:bCs/>
          <w:color w:val="FF0000"/>
          <w:sz w:val="32"/>
          <w:szCs w:val="32"/>
        </w:rPr>
        <w:t>)</w:t>
      </w:r>
    </w:p>
    <w:p w:rsidR="00000000" w:rsidRPr="00642DB8" w:rsidRDefault="00730605" w:rsidP="00642DB8">
      <w:pPr>
        <w:numPr>
          <w:ilvl w:val="0"/>
          <w:numId w:val="2"/>
        </w:numPr>
        <w:rPr>
          <w:b/>
          <w:color w:val="1F497D" w:themeColor="text2"/>
          <w:sz w:val="28"/>
          <w:szCs w:val="28"/>
        </w:rPr>
      </w:pPr>
      <w:r w:rsidRPr="00642DB8">
        <w:rPr>
          <w:b/>
          <w:color w:val="1F497D" w:themeColor="text2"/>
          <w:sz w:val="28"/>
          <w:szCs w:val="28"/>
        </w:rPr>
        <w:t>je zariadenie umožňujúce platob</w:t>
      </w:r>
      <w:r w:rsidRPr="00642DB8">
        <w:rPr>
          <w:b/>
          <w:color w:val="1F497D" w:themeColor="text2"/>
          <w:sz w:val="28"/>
          <w:szCs w:val="28"/>
        </w:rPr>
        <w:t>nou kartou vyberať hotovosť. V niektorých bankomatoch však možno aj vkladať hotovosť, uskutočňovať prevod alebo vykonávať platby (napr. dobíjanie kreditu k predplateným kartám mobilného telefónu).</w:t>
      </w:r>
    </w:p>
    <w:p w:rsidR="00000000" w:rsidRDefault="00730605" w:rsidP="00642DB8">
      <w:pPr>
        <w:numPr>
          <w:ilvl w:val="0"/>
          <w:numId w:val="2"/>
        </w:numPr>
        <w:rPr>
          <w:b/>
          <w:color w:val="1F497D" w:themeColor="text2"/>
          <w:sz w:val="28"/>
          <w:szCs w:val="28"/>
        </w:rPr>
      </w:pPr>
      <w:r w:rsidRPr="00642DB8">
        <w:rPr>
          <w:b/>
          <w:color w:val="1F497D" w:themeColor="text2"/>
          <w:sz w:val="28"/>
          <w:szCs w:val="28"/>
        </w:rPr>
        <w:t xml:space="preserve">Na </w:t>
      </w:r>
      <w:r w:rsidRPr="00642DB8">
        <w:rPr>
          <w:b/>
          <w:color w:val="1F497D" w:themeColor="text2"/>
          <w:sz w:val="28"/>
          <w:szCs w:val="28"/>
        </w:rPr>
        <w:t xml:space="preserve">všetky tieto operácie je nevyhnutné použiť platobnú kartu (debetnú alebo kreditnú) spolu s PIN číslom alebo aplikáciu v mobilnom telefóne. </w:t>
      </w:r>
    </w:p>
    <w:p w:rsidR="00642DB8" w:rsidRDefault="00642DB8" w:rsidP="00642DB8">
      <w:pPr>
        <w:rPr>
          <w:b/>
          <w:color w:val="1F497D" w:themeColor="text2"/>
          <w:sz w:val="28"/>
          <w:szCs w:val="28"/>
        </w:rPr>
      </w:pPr>
    </w:p>
    <w:p w:rsidR="00642DB8" w:rsidRDefault="00642DB8" w:rsidP="00642DB8">
      <w:pPr>
        <w:jc w:val="center"/>
        <w:rPr>
          <w:b/>
          <w:bCs/>
          <w:color w:val="FF0000"/>
          <w:sz w:val="32"/>
          <w:szCs w:val="32"/>
        </w:rPr>
      </w:pPr>
      <w:r w:rsidRPr="00642DB8">
        <w:rPr>
          <w:rFonts w:hint="eastAsia"/>
          <w:b/>
          <w:bCs/>
          <w:color w:val="FF0000"/>
          <w:sz w:val="32"/>
          <w:szCs w:val="32"/>
        </w:rPr>
        <w:t>PIN (</w:t>
      </w:r>
      <w:proofErr w:type="spellStart"/>
      <w:r w:rsidRPr="00642DB8">
        <w:rPr>
          <w:rFonts w:hint="eastAsia"/>
          <w:b/>
          <w:bCs/>
          <w:color w:val="FF0000"/>
          <w:sz w:val="32"/>
          <w:szCs w:val="32"/>
        </w:rPr>
        <w:t>Personal</w:t>
      </w:r>
      <w:proofErr w:type="spellEnd"/>
      <w:r w:rsidRPr="00642DB8">
        <w:rPr>
          <w:rFonts w:hint="eastAsia"/>
          <w:b/>
          <w:bCs/>
          <w:color w:val="FF0000"/>
          <w:sz w:val="32"/>
          <w:szCs w:val="32"/>
        </w:rPr>
        <w:t xml:space="preserve"> </w:t>
      </w:r>
      <w:proofErr w:type="spellStart"/>
      <w:r w:rsidRPr="00642DB8">
        <w:rPr>
          <w:rFonts w:hint="eastAsia"/>
          <w:b/>
          <w:bCs/>
          <w:color w:val="FF0000"/>
          <w:sz w:val="32"/>
          <w:szCs w:val="32"/>
        </w:rPr>
        <w:t>Identification</w:t>
      </w:r>
      <w:proofErr w:type="spellEnd"/>
      <w:r w:rsidRPr="00642DB8">
        <w:rPr>
          <w:rFonts w:hint="eastAsia"/>
          <w:b/>
          <w:bCs/>
          <w:color w:val="FF0000"/>
          <w:sz w:val="32"/>
          <w:szCs w:val="32"/>
        </w:rPr>
        <w:t xml:space="preserve"> </w:t>
      </w:r>
      <w:proofErr w:type="spellStart"/>
      <w:r w:rsidRPr="00642DB8">
        <w:rPr>
          <w:rFonts w:hint="eastAsia"/>
          <w:b/>
          <w:bCs/>
          <w:color w:val="FF0000"/>
          <w:sz w:val="32"/>
          <w:szCs w:val="32"/>
        </w:rPr>
        <w:t>Number</w:t>
      </w:r>
      <w:proofErr w:type="spellEnd"/>
      <w:r w:rsidRPr="00642DB8">
        <w:rPr>
          <w:rFonts w:hint="eastAsia"/>
          <w:b/>
          <w:bCs/>
          <w:color w:val="FF0000"/>
          <w:sz w:val="32"/>
          <w:szCs w:val="32"/>
        </w:rPr>
        <w:t>)</w:t>
      </w:r>
    </w:p>
    <w:p w:rsidR="00000000" w:rsidRPr="00642DB8" w:rsidRDefault="00730605" w:rsidP="00642DB8">
      <w:pPr>
        <w:numPr>
          <w:ilvl w:val="0"/>
          <w:numId w:val="3"/>
        </w:numPr>
        <w:rPr>
          <w:b/>
          <w:color w:val="1F497D" w:themeColor="text2"/>
          <w:sz w:val="28"/>
          <w:szCs w:val="28"/>
        </w:rPr>
      </w:pPr>
      <w:r w:rsidRPr="00642DB8">
        <w:rPr>
          <w:b/>
          <w:color w:val="1F497D" w:themeColor="text2"/>
          <w:sz w:val="28"/>
          <w:szCs w:val="28"/>
        </w:rPr>
        <w:t>zvyčajne štvormiestne osobné identifikačné číslo viažuce sa k platobnej karte</w:t>
      </w:r>
      <w:r w:rsidRPr="00642DB8">
        <w:rPr>
          <w:b/>
          <w:color w:val="1F497D" w:themeColor="text2"/>
          <w:sz w:val="28"/>
          <w:szCs w:val="28"/>
        </w:rPr>
        <w:t>. PIN umožňuje vykonávať transakcie, ako sú napr. platba za tovar v obchode alebo výber peňazí z bankomatu.</w:t>
      </w:r>
    </w:p>
    <w:p w:rsidR="00642DB8" w:rsidRDefault="00642DB8" w:rsidP="00642DB8">
      <w:pPr>
        <w:rPr>
          <w:b/>
          <w:color w:val="1F497D" w:themeColor="text2"/>
          <w:sz w:val="28"/>
          <w:szCs w:val="28"/>
        </w:rPr>
      </w:pPr>
      <w:r w:rsidRPr="00642DB8">
        <w:rPr>
          <w:b/>
          <w:color w:val="1F497D" w:themeColor="text2"/>
          <w:sz w:val="28"/>
          <w:szCs w:val="28"/>
        </w:rPr>
        <w:drawing>
          <wp:inline distT="0" distB="0" distL="0" distR="0">
            <wp:extent cx="4517232" cy="1882180"/>
            <wp:effectExtent l="19050" t="0" r="0" b="0"/>
            <wp:docPr id="1" name="Obrázok 1" descr="Silné heslo a opatrnosť na verejnej Wi-Fi. Ako si najlepši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Silné heslo a opatrnosť na verejnej Wi-Fi. Ako si najlepšie ...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232" cy="188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DB8" w:rsidRDefault="00642DB8" w:rsidP="00642DB8">
      <w:pPr>
        <w:rPr>
          <w:b/>
          <w:color w:val="1F497D" w:themeColor="text2"/>
          <w:sz w:val="28"/>
          <w:szCs w:val="28"/>
        </w:rPr>
      </w:pPr>
    </w:p>
    <w:p w:rsidR="00642DB8" w:rsidRDefault="00642DB8" w:rsidP="00642DB8">
      <w:pPr>
        <w:rPr>
          <w:b/>
          <w:color w:val="1F497D" w:themeColor="text2"/>
          <w:sz w:val="28"/>
          <w:szCs w:val="28"/>
        </w:rPr>
      </w:pPr>
      <w:r w:rsidRPr="00642DB8">
        <w:rPr>
          <w:b/>
          <w:color w:val="1F497D" w:themeColor="text2"/>
          <w:sz w:val="28"/>
          <w:szCs w:val="28"/>
        </w:rPr>
        <w:drawing>
          <wp:inline distT="0" distB="0" distL="0" distR="0">
            <wp:extent cx="3324225" cy="2083019"/>
            <wp:effectExtent l="19050" t="0" r="9525" b="0"/>
            <wp:docPr id="2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26" cy="208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605" w:rsidRDefault="00730605" w:rsidP="00642DB8">
      <w:pPr>
        <w:rPr>
          <w:b/>
          <w:color w:val="1F497D" w:themeColor="text2"/>
          <w:sz w:val="28"/>
          <w:szCs w:val="28"/>
        </w:rPr>
      </w:pPr>
    </w:p>
    <w:p w:rsidR="00730605" w:rsidRPr="00642DB8" w:rsidRDefault="00730605" w:rsidP="00642DB8">
      <w:pPr>
        <w:rPr>
          <w:b/>
          <w:color w:val="1F497D" w:themeColor="text2"/>
          <w:sz w:val="28"/>
          <w:szCs w:val="28"/>
        </w:rPr>
      </w:pPr>
      <w:r w:rsidRPr="00730605">
        <w:rPr>
          <w:b/>
          <w:color w:val="1F497D" w:themeColor="text2"/>
          <w:sz w:val="28"/>
          <w:szCs w:val="28"/>
        </w:rPr>
        <w:drawing>
          <wp:inline distT="0" distB="0" distL="0" distR="0">
            <wp:extent cx="3409950" cy="2113017"/>
            <wp:effectExtent l="19050" t="0" r="0" b="0"/>
            <wp:docPr id="3" name="Obrázok 3" descr="Platobná karta | Poštová ban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 descr="Platobná karta | Poštová banka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823" cy="211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B8" w:rsidRPr="00642DB8" w:rsidRDefault="00642DB8" w:rsidP="00642DB8">
      <w:pPr>
        <w:rPr>
          <w:b/>
          <w:color w:val="FF0000"/>
          <w:sz w:val="28"/>
          <w:szCs w:val="28"/>
        </w:rPr>
      </w:pPr>
    </w:p>
    <w:p w:rsidR="00336C02" w:rsidRPr="00336C02" w:rsidRDefault="00336C02" w:rsidP="00642DB8">
      <w:pPr>
        <w:rPr>
          <w:sz w:val="28"/>
          <w:szCs w:val="28"/>
        </w:rPr>
      </w:pPr>
    </w:p>
    <w:sectPr w:rsidR="00336C02" w:rsidRPr="00336C02" w:rsidSect="00336C02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32703"/>
    <w:multiLevelType w:val="hybridMultilevel"/>
    <w:tmpl w:val="C7046150"/>
    <w:lvl w:ilvl="0" w:tplc="D9B69F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4845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AAAB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BA40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EADD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5A29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B6E6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628E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3269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C3E1DB8"/>
    <w:multiLevelType w:val="hybridMultilevel"/>
    <w:tmpl w:val="935A8AB0"/>
    <w:lvl w:ilvl="0" w:tplc="E70C47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B8EE1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4E80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BC132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1E44D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B6C75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A634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D08D2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F6371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0F06EBC"/>
    <w:multiLevelType w:val="hybridMultilevel"/>
    <w:tmpl w:val="CA5EFB96"/>
    <w:lvl w:ilvl="0" w:tplc="5FF251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1058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E26B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8609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FC6D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4A26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CC91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8CFD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EE8B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6C02"/>
    <w:rsid w:val="00336C02"/>
    <w:rsid w:val="00610D7F"/>
    <w:rsid w:val="00642DB8"/>
    <w:rsid w:val="00730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10D7F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4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42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1302">
          <w:marLeft w:val="0"/>
          <w:marRight w:val="7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765">
          <w:marLeft w:val="0"/>
          <w:marRight w:val="7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1215">
          <w:marLeft w:val="0"/>
          <w:marRight w:val="7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4514">
          <w:marLeft w:val="0"/>
          <w:marRight w:val="7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2758">
          <w:marLeft w:val="0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5427">
          <w:marLeft w:val="0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6846">
          <w:marLeft w:val="0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Sn_mka_programu_Microsoft_Office_PowerPoint2.sldx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Sn_mka_programu_Microsoft_Office_PowerPoint1.sldx"/><Relationship Id="rId11" Type="http://schemas.openxmlformats.org/officeDocument/2006/relationships/image" Target="media/image4.gi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package" Target="embeddings/Sn_mka_programu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ProBook 4510s</dc:creator>
  <cp:lastModifiedBy>ProBook 4510s</cp:lastModifiedBy>
  <cp:revision>1</cp:revision>
  <dcterms:created xsi:type="dcterms:W3CDTF">2020-06-12T05:44:00Z</dcterms:created>
  <dcterms:modified xsi:type="dcterms:W3CDTF">2020-06-12T06:09:00Z</dcterms:modified>
</cp:coreProperties>
</file>